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pBdr>
          <w:bottom w:val="single" w:color="2ECC52" w:sz="12" w:space="8"/>
        </w:pBdr>
        <w:jc w:val="center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SecretSquirrel.cloud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jc w:val="center"/>
      </w:pPr>
      <w:r>
        <w:rPr>
          <w:rFonts w:ascii="Arial" w:cs="Arial" w:eastAsia="Arial" w:hAnsi="Arial"/>
          <w:b/>
          <w:bCs/>
          <w:color w:val="0D0F0D"/>
          <w:sz w:val="52"/>
          <w:szCs w:val="52"/>
        </w:rPr>
        <w:t xml:space="preserve">Vendor Security Evaluation Scorecard</w:t>
      </w:r>
    </w:p>
    <w:p>
      <w:pPr>
        <w:spacing w:before="120"/>
        <w:jc w:val="center"/>
      </w:pPr>
      <w:r>
        <w:rPr>
          <w:rFonts w:ascii="Arial" w:cs="Arial" w:eastAsia="Arial" w:hAnsi="Arial"/>
          <w:i/>
          <w:iCs/>
          <w:color w:val="666666"/>
          <w:sz w:val="28"/>
          <w:szCs w:val="28"/>
        </w:rPr>
        <w:t xml:space="preserve">Template — Customize before use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jc w:val="center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v1.0 · SecretSquirrel.cloud</w:t>
      </w:r>
    </w:p>
    <w:p>
      <w:pPr>
        <w:jc w:val="center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For internal use — customize before distribution</w:t>
      </w:r>
    </w:p>
    <w:p>
      <w:pPr>
        <w:pageBreakBefore/>
      </w:pPr>
      <w:r>
        <w:t xml:space="preserve"/>
      </w:r>
    </w:p>
    <w:p>
      <w:pPr>
        <w:pStyle w:val="Heading1"/>
      </w:pPr>
      <w:r>
        <w:t xml:space="preserve">Evaluation Details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0"/>
        <w:gridCol w:w="3528"/>
        <w:gridCol w:w="2520"/>
        <w:gridCol w:w="1512"/>
      </w:tblGrid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Field</w:t>
            </w:r>
          </w:p>
        </w:tc>
        <w:tc>
          <w:tcPr>
            <w:tcW w:type="dxa" w:w="352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Detail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Field</w:t>
            </w:r>
          </w:p>
        </w:tc>
        <w:tc>
          <w:tcPr>
            <w:tcW w:type="dxa" w:w="151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Detail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Vendor Name</w:t>
            </w:r>
          </w:p>
        </w:tc>
        <w:tc>
          <w:tcPr>
            <w:tcW w:type="dxa" w:w="352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Evaluation Date</w:t>
            </w:r>
          </w:p>
        </w:tc>
        <w:tc>
          <w:tcPr>
            <w:tcW w:type="dxa" w:w="151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Product / Service</w:t>
            </w:r>
          </w:p>
        </w:tc>
        <w:tc>
          <w:tcPr>
            <w:tcW w:type="dxa" w:w="352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Evaluator</w:t>
            </w:r>
          </w:p>
        </w:tc>
        <w:tc>
          <w:tcPr>
            <w:tcW w:type="dxa" w:w="151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Contract Value</w:t>
            </w:r>
          </w:p>
        </w:tc>
        <w:tc>
          <w:tcPr>
            <w:tcW w:type="dxa" w:w="352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Decision Due</w:t>
            </w:r>
          </w:p>
        </w:tc>
        <w:tc>
          <w:tcPr>
            <w:tcW w:type="dxa" w:w="151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Risk Tier</w:t>
            </w:r>
          </w:p>
        </w:tc>
        <w:tc>
          <w:tcPr>
            <w:tcW w:type="dxa" w:w="352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Recommendation</w:t>
            </w:r>
          </w:p>
        </w:tc>
        <w:tc>
          <w:tcPr>
            <w:tcW w:type="dxa" w:w="151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1"/>
      </w:pPr>
      <w:r>
        <w:t xml:space="preserve">Scoring Guide</w:t>
      </w:r>
    </w:p>
    <w:p>
      <w:pPr>
        <w:pStyle w:val="Normal"/>
      </w:pPr>
      <w:r>
        <w:t xml:space="preserve">Score each criterion 1–5. Multiply by weight to get the weighted score. Total possible: 500 points.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"/>
        <w:gridCol w:w="9072"/>
      </w:tblGrid>
      <w:tr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Score</w:t>
            </w:r>
          </w:p>
        </w:tc>
        <w:tc>
          <w:tcPr>
            <w:tcW w:type="dxa" w:w="907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Meaning</w:t>
            </w:r>
          </w:p>
        </w:tc>
      </w:tr>
      <w:tr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5</w:t>
            </w:r>
          </w:p>
        </w:tc>
        <w:tc>
          <w:tcPr>
            <w:tcW w:type="dxa" w:w="907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Exceeds requirements — best in class</w:t>
            </w:r>
          </w:p>
        </w:tc>
      </w:tr>
      <w:tr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4</w:t>
            </w:r>
          </w:p>
        </w:tc>
        <w:tc>
          <w:tcPr>
            <w:tcW w:type="dxa" w:w="907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Meets all requirements — minor gaps</w:t>
            </w:r>
          </w:p>
        </w:tc>
      </w:tr>
      <w:tr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3</w:t>
            </w:r>
          </w:p>
        </w:tc>
        <w:tc>
          <w:tcPr>
            <w:tcW w:type="dxa" w:w="907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Meets most requirements — acceptable gaps</w:t>
            </w:r>
          </w:p>
        </w:tc>
      </w:tr>
      <w:tr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2</w:t>
            </w:r>
          </w:p>
        </w:tc>
        <w:tc>
          <w:tcPr>
            <w:tcW w:type="dxa" w:w="907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Partial — significant gaps requiring mitigation</w:t>
            </w:r>
          </w:p>
        </w:tc>
      </w:tr>
      <w:tr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1</w:t>
            </w:r>
          </w:p>
        </w:tc>
        <w:tc>
          <w:tcPr>
            <w:tcW w:type="dxa" w:w="9072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Does not meet requirements — unacceptable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1"/>
      </w:pPr>
      <w:r>
        <w:t xml:space="preserve">Domain 1: Security Program (Weight: 25%)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36"/>
        <w:gridCol w:w="1008"/>
        <w:gridCol w:w="2016"/>
        <w:gridCol w:w="2520"/>
      </w:tblGrid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Criterion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Score (1-5)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Weighted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Notes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Dedicated security team / CISO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Annual third-party penetration testing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SOC 2 Type II or equivalent certification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Documented ISMS / security policies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Vulnerability disclosure / bug bounty program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Domain 1 Total</w:t>
            </w:r>
          </w:p>
        </w:tc>
        <w:tc>
          <w:tcPr>
            <w:tcW w:type="dxa" w:w="5544"/>
            <w:gridSpan w:val="3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color w:val="FFFFFF"/>
              </w:rPr>
              <w:t xml:space="preserve"> / 125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1"/>
      </w:pPr>
      <w:r>
        <w:t xml:space="preserve">Domain 2: Data Protection (Weight: 25%)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36"/>
        <w:gridCol w:w="1008"/>
        <w:gridCol w:w="2016"/>
        <w:gridCol w:w="2520"/>
      </w:tblGrid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Criterion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Score (1-5)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Weighted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Notes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Encryption at rest (AES-256 or equivalent)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Encryption in transit (TLS 1.2+)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Data classification and handling policy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Subprocessor / fourth-party management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Data retention and destruction policy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HIPAA BAA available (if applicable)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Domain 2 Total</w:t>
            </w:r>
          </w:p>
        </w:tc>
        <w:tc>
          <w:tcPr>
            <w:tcW w:type="dxa" w:w="5544"/>
            <w:gridSpan w:val="3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color w:val="FFFFFF"/>
              </w:rPr>
              <w:t xml:space="preserve"> / 150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1"/>
      </w:pPr>
      <w:r>
        <w:t xml:space="preserve">Domain 3: Access &amp; Identity (Weight: 20%)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36"/>
        <w:gridCol w:w="1008"/>
        <w:gridCol w:w="2016"/>
        <w:gridCol w:w="2520"/>
      </w:tblGrid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Criterion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Score (1-5)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Weighted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Notes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MFA enforced for all user access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RBAC / least-privilege access model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Privileged access management (PAM)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SSO / SAML integration available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Access review process (quarterly or more frequent)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Domain 3 Total</w:t>
            </w:r>
          </w:p>
        </w:tc>
        <w:tc>
          <w:tcPr>
            <w:tcW w:type="dxa" w:w="5544"/>
            <w:gridSpan w:val="3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color w:val="FFFFFF"/>
              </w:rPr>
              <w:t xml:space="preserve"> / 100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1"/>
      </w:pPr>
      <w:r>
        <w:t xml:space="preserve">Domain 4: Incident Response (Weight: 15%)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36"/>
        <w:gridCol w:w="1008"/>
        <w:gridCol w:w="2016"/>
        <w:gridCol w:w="2520"/>
      </w:tblGrid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Criterion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Score (1-5)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Weighted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Notes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Documented IR plan tested annually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Defined customer breach notification SLA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24/7 security operations capability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Post-incident reporting to customers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Domain 4 Total</w:t>
            </w:r>
          </w:p>
        </w:tc>
        <w:tc>
          <w:tcPr>
            <w:tcW w:type="dxa" w:w="5544"/>
            <w:gridSpan w:val="3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color w:val="FFFFFF"/>
              </w:rPr>
              <w:t xml:space="preserve"> / 100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1"/>
      </w:pPr>
      <w:r>
        <w:t xml:space="preserve">Domain 5: Operational Security (Weight: 15%)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36"/>
        <w:gridCol w:w="1008"/>
        <w:gridCol w:w="2016"/>
        <w:gridCol w:w="2520"/>
      </w:tblGrid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Criterion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Score (1-5)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Weighted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Notes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Secure SDLC / DevSecOps practices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Change management process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Business continuity / disaster recovery plan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Background checks for employees with data access</w:t>
            </w:r>
          </w:p>
        </w:tc>
        <w:tc>
          <w:tcPr>
            <w:tcW w:type="dxa" w:w="1008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453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Domain 5 Total</w:t>
            </w:r>
          </w:p>
        </w:tc>
        <w:tc>
          <w:tcPr>
            <w:tcW w:type="dxa" w:w="5544"/>
            <w:gridSpan w:val="3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color w:val="FFFFFF"/>
              </w:rPr>
              <w:t xml:space="preserve"> / 100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1"/>
      </w:pPr>
      <w:r>
        <w:t xml:space="preserve">Final Score &amp; Recommendation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1680"/>
        <w:gridCol w:w="5040"/>
      </w:tblGrid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Domain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Score / Max</w:t>
            </w:r>
          </w:p>
        </w:tc>
        <w:tc>
          <w:tcPr>
            <w:tcW w:type="dxa" w:w="50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Notes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Security Program / 125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50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Data Protection / 150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50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Access &amp; Identity / 100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50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Incident Response / 100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50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Operational Security / 100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50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TOTAL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2ECC5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D0F0D"/>
                <w:sz w:val="22"/>
                <w:szCs w:val="22"/>
              </w:rPr>
              <w:t xml:space="preserve">   / 500</w:t>
            </w:r>
          </w:p>
        </w:tc>
        <w:tc>
          <w:tcPr>
            <w:tcW w:type="dxa" w:w="50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Passing threshold: 350 / 500 (70%)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2"/>
      </w:pPr>
      <w:r>
        <w:t xml:space="preserve">Recommendation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16"/>
        <w:gridCol w:w="8064"/>
      </w:tblGrid>
      <w:tr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Decision</w:t>
            </w:r>
          </w:p>
        </w:tc>
        <w:tc>
          <w:tcPr>
            <w:tcW w:type="dxa" w:w="8064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Rationale</w:t>
            </w:r>
          </w:p>
        </w:tc>
      </w:tr>
      <w:tr>
        <w:tc>
          <w:tcPr>
            <w:tcW w:type="dxa" w:w="2016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8064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2"/>
      </w:pPr>
      <w:r>
        <w:t xml:space="preserve">Required Remediations Before Contract Execution</w:t>
      </w:r>
    </w:p>
    <w:p>
      <w:pPr>
        <w:pStyle w:val="ListParagraph"/>
        <w:numPr>
          <w:ilvl w:val="0"/>
          <w:numId w:val="2"/>
        </w:numPr>
      </w:pPr>
      <w:r>
        <w:t xml:space="preserve">[Required item 1 with deadline]</w:t>
      </w:r>
    </w:p>
    <w:p>
      <w:pPr>
        <w:pStyle w:val="ListParagraph"/>
        <w:numPr>
          <w:ilvl w:val="0"/>
          <w:numId w:val="2"/>
        </w:numPr>
      </w:pPr>
      <w:r>
        <w:t xml:space="preserve">[Required item 2 with deadline]</w:t>
      </w:r>
    </w:p>
    <w:p>
      <w:pPr>
        <w:spacing w:after="0"/>
      </w:pPr>
      <w:r>
        <w:t xml:space="preserve"/>
      </w:r>
    </w:p>
    <w:p>
      <w:pPr>
        <w:pStyle w:val="Normal"/>
      </w:pPr>
      <w:r>
        <w:rPr>
          <w:color w:val="666666"/>
        </w:rPr>
        <w:t xml:space="preserve">Evaluator signature: _____________________________  Date: ___________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 w15:tentative="1">
      <w:start w:val="1"/>
      <w:numFmt w:val="bullet"/>
      <w:lvlText w:val="○"/>
      <w:lvlJc w:val="left"/>
      <w:pPr>
        <w:ind w:left="1080" w:hanging="360"/>
      </w:pPr>
      <w:rPr>
        <w:rFonts w:ascii="Arial" w:cs="Arial" w:eastAsia="Arial" w:hAnsi="Arial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60"/>
      <w:outlineLvl w:val="0"/>
    </w:pPr>
    <w:rPr>
      <w:rFonts w:ascii="Arial" w:cs="Arial" w:eastAsia="Arial" w:hAnsi="Arial"/>
      <w:b/>
      <w:bCs/>
      <w:color w:val="0D0F0D"/>
      <w:sz w:val="36"/>
      <w:szCs w:val="36"/>
    </w:rPr>
  </w:style>
  <w:style w:type="paragraph" w:styleId="Heading2">
    <w:name w:val="Heading 2"/>
    <w:basedOn w:val="Normal"/>
    <w:next w:val="Normal"/>
    <w:qFormat/>
    <w:pPr>
      <w:pBdr>
        <w:bottom w:val="single" w:color="E0E0E0" w:sz="4" w:space="4"/>
      </w:pBdr>
      <w:spacing w:after="120" w:before="300"/>
      <w:outlineLvl w:val="1"/>
    </w:pPr>
    <w:rPr>
      <w:rFonts w:ascii="Arial" w:cs="Arial" w:eastAsia="Arial" w:hAnsi="Arial"/>
      <w:b/>
      <w:bCs/>
      <w:color w:val="0D0F0D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240"/>
      <w:outlineLvl w:val="2"/>
    </w:pPr>
    <w:rPr>
      <w:rFonts w:ascii="Arial" w:cs="Arial" w:eastAsia="Arial" w:hAnsi="Arial"/>
      <w:b/>
      <w:bCs/>
      <w:color w:val="444444"/>
      <w:sz w:val="22"/>
      <w:szCs w:val="22"/>
    </w:rPr>
  </w:style>
  <w:style w:type="paragraph" w:styleId="Normal">
    <w:name w:val="Normal"/>
    <w:pPr>
      <w:spacing w:after="160"/>
    </w:pPr>
    <w:rPr>
      <w:rFonts w:ascii="Arial" w:cs="Arial" w:eastAsia="Arial" w:hAnsi="Arial"/>
      <w:color w:val="333333"/>
      <w:sz w:val="22"/>
      <w:szCs w:val="22"/>
    </w:rPr>
  </w:style>
  <w:style w:type="paragraph" w:styleId="TableHeader">
    <w:name w:val="Table Header"/>
    <w:basedOn w:val="Normal"/>
    <w:rPr>
      <w:rFonts w:ascii="Arial" w:cs="Arial" w:eastAsia="Arial" w:hAnsi="Arial"/>
      <w:b/>
      <w:bCs/>
      <w:color w:val="FFFFFF"/>
      <w:sz w:val="20"/>
      <w:szCs w:val="20"/>
    </w:rPr>
  </w:style>
  <w:style w:type="paragraph" w:styleId="Caption">
    <w:name w:val="Caption"/>
    <w:basedOn w:val="Normal"/>
    <w:pPr>
      <w:spacing w:after="200" w:before="80"/>
    </w:pPr>
    <w:rPr>
      <w:rFonts w:ascii="Arial" w:cs="Arial" w:eastAsia="Arial" w:hAnsi="Arial"/>
      <w:i/>
      <w:iCs/>
      <w:color w:val="66666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2026-06-28T23:01:03.982Z</dcterms:created>
  <dcterms:modified xsi:type="dcterms:W3CDTF">2026-06-28T23:01:03.982Z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