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pBdr>
          <w:bottom w:val="single" w:color="2ECC52" w:sz="12" w:space="8"/>
        </w:pBd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SecretSquirrel.cloud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color w:val="0D0F0D"/>
          <w:sz w:val="52"/>
          <w:szCs w:val="52"/>
        </w:rPr>
        <w:t xml:space="preserve">Security Program Charter</w:t>
      </w:r>
    </w:p>
    <w:p>
      <w:pPr>
        <w:spacing w:before="120"/>
        <w:jc w:val="center"/>
      </w:pPr>
      <w:r>
        <w:rPr>
          <w:rFonts w:ascii="Arial" w:cs="Arial" w:eastAsia="Arial" w:hAnsi="Arial"/>
          <w:i/>
          <w:iCs/>
          <w:color w:val="666666"/>
          <w:sz w:val="28"/>
          <w:szCs w:val="28"/>
        </w:rPr>
        <w:t xml:space="preserve">Template — Customize before use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/>
      </w:r>
    </w:p>
    <w:p>
      <w:pPr>
        <w:jc w:val="center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v1.0 · SecretSquirrel.cloud</w:t>
      </w:r>
    </w:p>
    <w:p>
      <w:pPr>
        <w:jc w:val="center"/>
      </w:pPr>
      <w:r>
        <w:rPr>
          <w:rFonts w:ascii="Arial" w:cs="Arial" w:eastAsia="Arial" w:hAnsi="Arial"/>
          <w:i/>
          <w:iCs/>
          <w:color w:val="AAAAAA"/>
          <w:sz w:val="20"/>
          <w:szCs w:val="20"/>
        </w:rPr>
        <w:t xml:space="preserve">For internal use — customize before distribution</w:t>
      </w:r>
    </w:p>
    <w:p>
      <w:pPr>
        <w:pageBreakBefore/>
      </w:pPr>
      <w:r>
        <w:t xml:space="preserve"/>
      </w:r>
    </w:p>
    <w:p>
      <w:pPr>
        <w:pStyle w:val="Heading1"/>
      </w:pPr>
      <w:r>
        <w:t xml:space="preserve">1. Program Overview</w:t>
      </w:r>
    </w:p>
    <w:p>
      <w:pPr>
        <w:pStyle w:val="Heading2"/>
      </w:pPr>
      <w:r>
        <w:t xml:space="preserve">1.1 Mission Statement</w:t>
      </w:r>
    </w:p>
    <w:p>
      <w:pPr>
        <w:pStyle w:val="Normal"/>
      </w:pPr>
      <w:r>
        <w:t xml:space="preserve">[Insert your security program mission statement here. Example: To protect the organization's information assets, ensure regulatory compliance, and enable business operations through effective security risk management.]</w:t>
      </w:r>
    </w:p>
    <w:p>
      <w:pPr>
        <w:pStyle w:val="Heading2"/>
      </w:pPr>
      <w:r>
        <w:t xml:space="preserve">1.2 Vision</w:t>
      </w:r>
    </w:p>
    <w:p>
      <w:pPr>
        <w:pStyle w:val="Normal"/>
      </w:pPr>
      <w:r>
        <w:t xml:space="preserve">[Describe the desired future state of your security program in 2–3 sentences.]</w:t>
      </w:r>
    </w:p>
    <w:p>
      <w:pPr>
        <w:pStyle w:val="Heading2"/>
      </w:pPr>
      <w:r>
        <w:t xml:space="preserve">1.3 Program Scope</w:t>
      </w:r>
    </w:p>
    <w:p>
      <w:pPr>
        <w:pStyle w:val="Normal"/>
      </w:pPr>
      <w:r>
        <w:t xml:space="preserve">This charter governs security operations for:</w:t>
      </w:r>
    </w:p>
    <w:p>
      <w:pPr>
        <w:pStyle w:val="ListParagraph"/>
        <w:numPr>
          <w:ilvl w:val="0"/>
          <w:numId w:val="2"/>
        </w:numPr>
      </w:pPr>
      <w:r>
        <w:t xml:space="preserve">[Organization name] and all subsidiaries</w:t>
      </w:r>
    </w:p>
    <w:p>
      <w:pPr>
        <w:pStyle w:val="ListParagraph"/>
        <w:numPr>
          <w:ilvl w:val="0"/>
          <w:numId w:val="2"/>
        </w:numPr>
      </w:pPr>
      <w:r>
        <w:t xml:space="preserve">All information systems, applications, and data owned or operated by the organization</w:t>
      </w:r>
    </w:p>
    <w:p>
      <w:pPr>
        <w:pStyle w:val="ListParagraph"/>
        <w:numPr>
          <w:ilvl w:val="0"/>
          <w:numId w:val="2"/>
        </w:numPr>
      </w:pPr>
      <w:r>
        <w:t xml:space="preserve">All employees, contractors, and third-party vendors with access to organizational systems</w:t>
      </w:r>
    </w:p>
    <w:p>
      <w:pPr>
        <w:pStyle w:val="ListParagraph"/>
        <w:numPr>
          <w:ilvl w:val="0"/>
          <w:numId w:val="2"/>
        </w:numPr>
      </w:pPr>
      <w:r>
        <w:t xml:space="preserve">Cloud-hosted and on-premises infrastructure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2. Governance Structure</w:t>
      </w:r>
    </w:p>
    <w:p>
      <w:pPr>
        <w:pStyle w:val="Heading2"/>
      </w:pPr>
      <w:r>
        <w:t xml:space="preserve">2.1 Security Leadership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Role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Name / Title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Responsibilities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Reports To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CISO / Security Director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Security Architect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SecOps Lead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2"/>
      </w:pPr>
      <w:r>
        <w:t xml:space="preserve">2.2 Oversight &amp; Accountability</w:t>
      </w:r>
    </w:p>
    <w:p>
      <w:pPr>
        <w:pStyle w:val="ListParagraph"/>
        <w:numPr>
          <w:ilvl w:val="0"/>
          <w:numId w:val="2"/>
        </w:numPr>
      </w:pPr>
      <w:r>
        <w:t xml:space="preserve">Executive sponsor: [Name / Title]</w:t>
      </w:r>
    </w:p>
    <w:p>
      <w:pPr>
        <w:pStyle w:val="ListParagraph"/>
        <w:numPr>
          <w:ilvl w:val="0"/>
          <w:numId w:val="2"/>
        </w:numPr>
      </w:pPr>
      <w:r>
        <w:t xml:space="preserve">Board reporting cadence: [Quarterly / Semi-annual]</w:t>
      </w:r>
    </w:p>
    <w:p>
      <w:pPr>
        <w:pStyle w:val="ListParagraph"/>
        <w:numPr>
          <w:ilvl w:val="0"/>
          <w:numId w:val="2"/>
        </w:numPr>
      </w:pPr>
      <w:r>
        <w:t xml:space="preserve">Risk committee: [Name of committee if applicable]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3. Program Pillars</w:t>
      </w:r>
    </w:p>
    <w:p>
      <w:pPr>
        <w:pStyle w:val="Heading2"/>
      </w:pPr>
      <w:r>
        <w:t xml:space="preserve">3.1 Identify</w:t>
      </w:r>
    </w:p>
    <w:p>
      <w:pPr>
        <w:pStyle w:val="Normal"/>
      </w:pPr>
      <w:r>
        <w:t xml:space="preserve">Asset management, risk assessment, vulnerability management, and threat intelligence.</w:t>
      </w:r>
    </w:p>
    <w:p>
      <w:pPr>
        <w:pStyle w:val="Heading2"/>
      </w:pPr>
      <w:r>
        <w:t xml:space="preserve">3.2 Protect</w:t>
      </w:r>
    </w:p>
    <w:p>
      <w:pPr>
        <w:pStyle w:val="Normal"/>
      </w:pPr>
      <w:r>
        <w:t xml:space="preserve">Access control, data protection, security architecture, and awareness training.</w:t>
      </w:r>
    </w:p>
    <w:p>
      <w:pPr>
        <w:pStyle w:val="Heading2"/>
      </w:pPr>
      <w:r>
        <w:t xml:space="preserve">3.3 Detect</w:t>
      </w:r>
    </w:p>
    <w:p>
      <w:pPr>
        <w:pStyle w:val="Normal"/>
      </w:pPr>
      <w:r>
        <w:t xml:space="preserve">Detection engineering, monitoring, threat hunting, and anomaly detection.</w:t>
      </w:r>
    </w:p>
    <w:p>
      <w:pPr>
        <w:pStyle w:val="Heading2"/>
      </w:pPr>
      <w:r>
        <w:t xml:space="preserve">3.4 Respond</w:t>
      </w:r>
    </w:p>
    <w:p>
      <w:pPr>
        <w:pStyle w:val="Normal"/>
      </w:pPr>
      <w:r>
        <w:t xml:space="preserve">Incident response, forensics, crisis communication, and business continuity.</w:t>
      </w:r>
    </w:p>
    <w:p>
      <w:pPr>
        <w:pStyle w:val="Heading2"/>
      </w:pPr>
      <w:r>
        <w:t xml:space="preserve">3.5 Recover</w:t>
      </w:r>
    </w:p>
    <w:p>
      <w:pPr>
        <w:pStyle w:val="Normal"/>
      </w:pPr>
      <w:r>
        <w:t xml:space="preserve">Recovery planning, improvements, and lessons learned integration.</w:t>
      </w:r>
    </w:p>
    <w:p>
      <w:pPr>
        <w:spacing w:after="0"/>
      </w:pPr>
      <w:r>
        <w:t xml:space="preserve"/>
      </w:r>
    </w:p>
    <w:p>
      <w:pPr>
        <w:pStyle w:val="Heading1"/>
      </w:pPr>
      <w:r>
        <w:t xml:space="preserve">4. Key Metrics &amp; KPIs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160"/>
        <w:gridCol w:w="2160"/>
        <w:gridCol w:w="2400"/>
      </w:tblGrid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Metric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Current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Target</w:t>
            </w:r>
          </w:p>
        </w:tc>
        <w:tc>
          <w:tcPr>
            <w:tcW w:type="dxa" w:w="24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Cadence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Mean Time to Detect (MTTD)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&lt; 24 hours</w:t>
            </w:r>
          </w:p>
        </w:tc>
        <w:tc>
          <w:tcPr>
            <w:tcW w:type="dxa" w:w="24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Monthly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Mean Time to Respond (MTTR)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&lt; 4 hours</w:t>
            </w:r>
          </w:p>
        </w:tc>
        <w:tc>
          <w:tcPr>
            <w:tcW w:type="dxa" w:w="24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Monthly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Critical Vulnerability Age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&lt; 15 days</w:t>
            </w:r>
          </w:p>
        </w:tc>
        <w:tc>
          <w:tcPr>
            <w:tcW w:type="dxa" w:w="24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Weekly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Patch Compliance Rate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&gt; 95%</w:t>
            </w:r>
          </w:p>
        </w:tc>
        <w:tc>
          <w:tcPr>
            <w:tcW w:type="dxa" w:w="24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Monthly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Security Awareness Training Completion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&gt; 98%</w:t>
            </w:r>
          </w:p>
        </w:tc>
        <w:tc>
          <w:tcPr>
            <w:tcW w:type="dxa" w:w="24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Quarterly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Phishing Simulation Click Rate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&lt; 5%</w:t>
            </w:r>
          </w:p>
        </w:tc>
        <w:tc>
          <w:tcPr>
            <w:tcW w:type="dxa" w:w="240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Quarterly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5. Budget &amp; Resources</w:t>
      </w:r>
    </w:p>
    <w:p>
      <w:pPr>
        <w:pStyle w:val="Heading2"/>
      </w:pPr>
      <w:r>
        <w:t xml:space="preserve">5.1 Annual Budget Summary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2520"/>
        <w:gridCol w:w="2520"/>
        <w:gridCol w:w="1680"/>
      </w:tblGrid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Category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FY Budget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Spent YTD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% Used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Personnel &amp; Benefits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Security Tooling &amp; Licensing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Training &amp; Certifications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Professional Services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Incident Response Reserve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168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6. Regulatory &amp; Compliance Requirements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20"/>
        <w:gridCol w:w="3360"/>
        <w:gridCol w:w="2160"/>
        <w:gridCol w:w="2040"/>
      </w:tblGrid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Framework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Scope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Owner</w:t>
            </w:r>
          </w:p>
        </w:tc>
        <w:tc>
          <w:tcPr>
            <w:tcW w:type="dxa" w:w="2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Next Audit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HIPAA Security Rule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HITRUST CSF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NIST CSF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252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State Privacy Laws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1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204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Heading1"/>
      </w:pPr>
      <w:r>
        <w:t xml:space="preserve">7. Charter Approval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60"/>
        <w:gridCol w:w="3360"/>
        <w:gridCol w:w="3360"/>
      </w:tblGrid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Role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Name &amp; Signature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0D0F0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TableHeader"/>
            </w:pPr>
            <w:r>
              <w:rPr>
                <w:b/>
                <w:bCs/>
                <w:color w:val="FFFFFF"/>
              </w:rPr>
              <w:t xml:space="preserve">Date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CISO / Security Director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Executive Sponsor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Legal Counsel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AFF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  <w:tr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t xml:space="preserve">Board Representative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  <w:tc>
          <w:tcPr>
            <w:tcW w:type="dxa" w:w="3360"/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pStyle w:val="Normal"/>
            </w:pPr>
            <w:r>
              <w:rPr>
                <w:color w:val="AAAAAA"/>
              </w:rPr>
              <w:t xml:space="preserve"> </w:t>
            </w:r>
          </w:p>
        </w:tc>
      </w:tr>
    </w:tbl>
    <w:p>
      <w:pPr>
        <w:spacing w:after="0"/>
      </w:pPr>
      <w:r>
        <w:t xml:space="preserve"/>
      </w:r>
    </w:p>
    <w:p>
      <w:pPr>
        <w:pStyle w:val="Normal"/>
      </w:pPr>
      <w:r>
        <w:rPr>
          <w:i/>
          <w:iCs/>
          <w:color w:val="666666"/>
          <w:sz w:val="18"/>
          <w:szCs w:val="18"/>
        </w:rPr>
        <w:t xml:space="preserve">Version history: v1.0 — Initial release. Update this section when revised.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 w15:tentative="1">
      <w:start w:val="1"/>
      <w:numFmt w:val="bullet"/>
      <w:lvlText w:val="○"/>
      <w:lvlJc w:val="left"/>
      <w:pPr>
        <w:ind w:left="1080" w:hanging="360"/>
      </w:pPr>
      <w:rPr>
        <w:rFonts w:ascii="Arial" w:cs="Arial" w:eastAsia="Arial" w:hAnsi="Arial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80" w:before="360"/>
      <w:outlineLvl w:val="0"/>
    </w:pPr>
    <w:rPr>
      <w:rFonts w:ascii="Arial" w:cs="Arial" w:eastAsia="Arial" w:hAnsi="Arial"/>
      <w:b/>
      <w:bCs/>
      <w:color w:val="0D0F0D"/>
      <w:sz w:val="36"/>
      <w:szCs w:val="36"/>
    </w:rPr>
  </w:style>
  <w:style w:type="paragraph" w:styleId="Heading2">
    <w:name w:val="Heading 2"/>
    <w:basedOn w:val="Normal"/>
    <w:next w:val="Normal"/>
    <w:qFormat/>
    <w:pPr>
      <w:pBdr>
        <w:bottom w:val="single" w:color="E0E0E0" w:sz="4" w:space="4"/>
      </w:pBdr>
      <w:spacing w:after="120" w:before="300"/>
      <w:outlineLvl w:val="1"/>
    </w:pPr>
    <w:rPr>
      <w:rFonts w:ascii="Arial" w:cs="Arial" w:eastAsia="Arial" w:hAnsi="Arial"/>
      <w:b/>
      <w:bCs/>
      <w:color w:val="0D0F0D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40"/>
      <w:outlineLvl w:val="2"/>
    </w:pPr>
    <w:rPr>
      <w:rFonts w:ascii="Arial" w:cs="Arial" w:eastAsia="Arial" w:hAnsi="Arial"/>
      <w:b/>
      <w:bCs/>
      <w:color w:val="444444"/>
      <w:sz w:val="22"/>
      <w:szCs w:val="22"/>
    </w:rPr>
  </w:style>
  <w:style w:type="paragraph" w:styleId="Normal">
    <w:name w:val="Normal"/>
    <w:pPr>
      <w:spacing w:after="160"/>
    </w:pPr>
    <w:rPr>
      <w:rFonts w:ascii="Arial" w:cs="Arial" w:eastAsia="Arial" w:hAnsi="Arial"/>
      <w:color w:val="333333"/>
      <w:sz w:val="22"/>
      <w:szCs w:val="22"/>
    </w:rPr>
  </w:style>
  <w:style w:type="paragraph" w:styleId="TableHeader">
    <w:name w:val="Table Header"/>
    <w:basedOn w:val="Normal"/>
    <w:rPr>
      <w:rFonts w:ascii="Arial" w:cs="Arial" w:eastAsia="Arial" w:hAnsi="Arial"/>
      <w:b/>
      <w:bCs/>
      <w:color w:val="FFFFFF"/>
      <w:sz w:val="20"/>
      <w:szCs w:val="20"/>
    </w:rPr>
  </w:style>
  <w:style w:type="paragraph" w:styleId="Caption">
    <w:name w:val="Caption"/>
    <w:basedOn w:val="Normal"/>
    <w:pPr>
      <w:spacing w:after="200" w:before="80"/>
    </w:pPr>
    <w:rPr>
      <w:rFonts w:ascii="Arial" w:cs="Arial" w:eastAsia="Arial" w:hAnsi="Arial"/>
      <w:i/>
      <w:iCs/>
      <w:color w:val="66666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2026-06-28T23:01:03.634Z</dcterms:created>
  <dcterms:modified xsi:type="dcterms:W3CDTF">2026-06-28T23:01:03.634Z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