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pBdr>
          <w:bottom w:val="single" w:color="2ECC52" w:sz="12" w:space="8"/>
        </w:pBd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SecretSquirrel.cloud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0D0F0D"/>
          <w:sz w:val="52"/>
          <w:szCs w:val="52"/>
        </w:rPr>
        <w:t xml:space="preserve">Incident Response Runbook</w:t>
      </w:r>
    </w:p>
    <w:p>
      <w:pPr>
        <w:spacing w:before="120"/>
        <w:jc w:val="center"/>
      </w:pPr>
      <w:r>
        <w:rPr>
          <w:rFonts w:ascii="Arial" w:cs="Arial" w:eastAsia="Arial" w:hAnsi="Arial"/>
          <w:i/>
          <w:iCs/>
          <w:color w:val="666666"/>
          <w:sz w:val="28"/>
          <w:szCs w:val="28"/>
        </w:rPr>
        <w:t xml:space="preserve">Template — Customize before use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v1.0 · SecretSquirrel.cloud</w:t>
      </w:r>
    </w:p>
    <w:p>
      <w:pPr>
        <w:jc w:val="center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For internal use — customize before distribution</w:t>
      </w:r>
    </w:p>
    <w:p>
      <w:pPr>
        <w:pageBreakBefore/>
      </w:pPr>
      <w:r>
        <w:t xml:space="preserve"/>
      </w:r>
    </w:p>
    <w:p>
      <w:pPr>
        <w:pStyle w:val="Heading1"/>
      </w:pPr>
      <w:r>
        <w:t xml:space="preserve">1. Purpose &amp; Scope</w:t>
      </w:r>
    </w:p>
    <w:p>
      <w:pPr>
        <w:pStyle w:val="Normal"/>
      </w:pPr>
      <w:r>
        <w:t xml:space="preserve">This runbook defines the procedures for detecting, containing, eradicating, and recovering from security incidents. It applies to all systems and personnel within scope of the organization's information security program.</w:t>
      </w:r>
    </w:p>
    <w:p>
      <w:pPr>
        <w:pStyle w:val="Heading2"/>
      </w:pPr>
      <w:r>
        <w:t xml:space="preserve">1.1 Incident Severity Levels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2160"/>
        <w:gridCol w:w="2880"/>
        <w:gridCol w:w="1800"/>
        <w:gridCol w:w="1800"/>
      </w:tblGrid>
      <w:tr>
        <w:tc>
          <w:tcPr>
            <w:tcW w:type="dxa" w:w="14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Level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Name</w:t>
            </w:r>
          </w:p>
        </w:tc>
        <w:tc>
          <w:tcPr>
            <w:tcW w:type="dxa" w:w="28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Description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Response SLA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Escalation</w:t>
            </w:r>
          </w:p>
        </w:tc>
      </w:tr>
      <w:tr>
        <w:tc>
          <w:tcPr>
            <w:tcW w:type="dxa" w:w="14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P1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Critical</w:t>
            </w:r>
          </w:p>
        </w:tc>
        <w:tc>
          <w:tcPr>
            <w:tcW w:type="dxa" w:w="28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Active breach, ransomware, PHI exposure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15 min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CISO, Executive, Legal</w:t>
            </w:r>
          </w:p>
        </w:tc>
      </w:tr>
      <w:tr>
        <w:tc>
          <w:tcPr>
            <w:tcW w:type="dxa" w:w="14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P2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High</w:t>
            </w:r>
          </w:p>
        </w:tc>
        <w:tc>
          <w:tcPr>
            <w:tcW w:type="dxa" w:w="28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Confirmed compromise, service disruption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1 hour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CISO, SOC Lead</w:t>
            </w:r>
          </w:p>
        </w:tc>
      </w:tr>
      <w:tr>
        <w:tc>
          <w:tcPr>
            <w:tcW w:type="dxa" w:w="14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P3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Medium</w:t>
            </w:r>
          </w:p>
        </w:tc>
        <w:tc>
          <w:tcPr>
            <w:tcW w:type="dxa" w:w="28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Suspicious activity, policy violation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4 hours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SOC Lead</w:t>
            </w:r>
          </w:p>
        </w:tc>
      </w:tr>
      <w:tr>
        <w:tc>
          <w:tcPr>
            <w:tcW w:type="dxa" w:w="14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P4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Low</w:t>
            </w:r>
          </w:p>
        </w:tc>
        <w:tc>
          <w:tcPr>
            <w:tcW w:type="dxa" w:w="28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Anomaly, failed attack, policy inquiry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24 hours</w:t>
            </w:r>
          </w:p>
        </w:tc>
        <w:tc>
          <w:tcPr>
            <w:tcW w:type="dxa" w:w="18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On-call Analyst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2. Phase 1 — Preparation</w:t>
      </w:r>
    </w:p>
    <w:p>
      <w:pPr>
        <w:pStyle w:val="Heading2"/>
      </w:pPr>
      <w:r>
        <w:t xml:space="preserve">2.1 Prerequisites</w:t>
      </w:r>
    </w:p>
    <w:p>
      <w:pPr>
        <w:pStyle w:val="ListParagraph"/>
        <w:numPr>
          <w:ilvl w:val="0"/>
          <w:numId w:val="2"/>
        </w:numPr>
      </w:pPr>
      <w:r>
        <w:t xml:space="preserve">Incident response plan approved and distributed</w:t>
      </w:r>
    </w:p>
    <w:p>
      <w:pPr>
        <w:pStyle w:val="ListParagraph"/>
        <w:numPr>
          <w:ilvl w:val="0"/>
          <w:numId w:val="2"/>
        </w:numPr>
      </w:pPr>
      <w:r>
        <w:t xml:space="preserve">On-call rotation established and communicated</w:t>
      </w:r>
    </w:p>
    <w:p>
      <w:pPr>
        <w:pStyle w:val="ListParagraph"/>
        <w:numPr>
          <w:ilvl w:val="0"/>
          <w:numId w:val="2"/>
        </w:numPr>
      </w:pPr>
      <w:r>
        <w:t xml:space="preserve">IR communication channels configured (e.g., dedicated Slack channel, bridge line)</w:t>
      </w:r>
    </w:p>
    <w:p>
      <w:pPr>
        <w:pStyle w:val="ListParagraph"/>
        <w:numPr>
          <w:ilvl w:val="0"/>
          <w:numId w:val="2"/>
        </w:numPr>
      </w:pPr>
      <w:r>
        <w:t xml:space="preserve">Legal and PR contacts identified and pre-briefed</w:t>
      </w:r>
    </w:p>
    <w:p>
      <w:pPr>
        <w:pStyle w:val="ListParagraph"/>
        <w:numPr>
          <w:ilvl w:val="0"/>
          <w:numId w:val="2"/>
        </w:numPr>
      </w:pPr>
      <w:r>
        <w:t xml:space="preserve">Forensic tooling deployed and tested</w:t>
      </w:r>
    </w:p>
    <w:p>
      <w:pPr>
        <w:pStyle w:val="ListParagraph"/>
        <w:numPr>
          <w:ilvl w:val="0"/>
          <w:numId w:val="2"/>
        </w:numPr>
      </w:pPr>
      <w:r>
        <w:t xml:space="preserve">Evidence collection procedures documented and practiced</w:t>
      </w:r>
    </w:p>
    <w:p>
      <w:pPr>
        <w:pStyle w:val="Heading2"/>
      </w:pPr>
      <w:r>
        <w:t xml:space="preserve">2.2 IR Team Roles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5040"/>
        <w:gridCol w:w="2520"/>
      </w:tblGrid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Role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Responsibilities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Assigned To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Incident Commander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Technical Lead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Communications Lead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Legal/Compliance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Executive Liaison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3. Phase 2 — Detection &amp; Analysis</w:t>
      </w:r>
    </w:p>
    <w:p>
      <w:pPr>
        <w:pStyle w:val="Heading2"/>
      </w:pPr>
      <w:r>
        <w:t xml:space="preserve">3.1 Detection Checklist</w:t>
      </w:r>
    </w:p>
    <w:p>
      <w:pPr>
        <w:pStyle w:val="ListParagraph"/>
        <w:numPr>
          <w:ilvl w:val="0"/>
          <w:numId w:val="3"/>
        </w:numPr>
      </w:pPr>
      <w:r>
        <w:t xml:space="preserve">Receive alert or report. Document source, time, and initial details.</w:t>
      </w:r>
    </w:p>
    <w:p>
      <w:pPr>
        <w:pStyle w:val="ListParagraph"/>
        <w:numPr>
          <w:ilvl w:val="0"/>
          <w:numId w:val="3"/>
        </w:numPr>
      </w:pPr>
      <w:r>
        <w:t xml:space="preserve">Assign severity level using the matrix in Section 1.1.</w:t>
      </w:r>
    </w:p>
    <w:p>
      <w:pPr>
        <w:pStyle w:val="ListParagraph"/>
        <w:numPr>
          <w:ilvl w:val="0"/>
          <w:numId w:val="3"/>
        </w:numPr>
      </w:pPr>
      <w:r>
        <w:t xml:space="preserve">Open incident ticket and assign Incident Commander.</w:t>
      </w:r>
    </w:p>
    <w:p>
      <w:pPr>
        <w:pStyle w:val="ListParagraph"/>
        <w:numPr>
          <w:ilvl w:val="0"/>
          <w:numId w:val="3"/>
        </w:numPr>
      </w:pPr>
      <w:r>
        <w:t xml:space="preserve">Notify on-call team per severity SLA.</w:t>
      </w:r>
    </w:p>
    <w:p>
      <w:pPr>
        <w:pStyle w:val="ListParagraph"/>
        <w:numPr>
          <w:ilvl w:val="0"/>
          <w:numId w:val="3"/>
        </w:numPr>
      </w:pPr>
      <w:r>
        <w:t xml:space="preserve">Begin evidence collection — do NOT remediate before collecting.</w:t>
      </w:r>
    </w:p>
    <w:p>
      <w:pPr>
        <w:pStyle w:val="Heading2"/>
      </w:pPr>
      <w:r>
        <w:t xml:space="preserve">3.2 Initial Triage Questions</w:t>
      </w:r>
    </w:p>
    <w:p>
      <w:pPr>
        <w:pStyle w:val="ListParagraph"/>
        <w:numPr>
          <w:ilvl w:val="0"/>
          <w:numId w:val="2"/>
        </w:numPr>
      </w:pPr>
      <w:r>
        <w:t xml:space="preserve">What systems are affected? (list hostnames, IPs, accounts)</w:t>
      </w:r>
    </w:p>
    <w:p>
      <w:pPr>
        <w:pStyle w:val="ListParagraph"/>
        <w:numPr>
          <w:ilvl w:val="0"/>
          <w:numId w:val="2"/>
        </w:numPr>
      </w:pPr>
      <w:r>
        <w:t xml:space="preserve">When was the incident first detected? When did it likely start?</w:t>
      </w:r>
    </w:p>
    <w:p>
      <w:pPr>
        <w:pStyle w:val="ListParagraph"/>
        <w:numPr>
          <w:ilvl w:val="0"/>
          <w:numId w:val="2"/>
        </w:numPr>
      </w:pPr>
      <w:r>
        <w:t xml:space="preserve">What data may be at risk? (PHI, PII, credentials, IP)</w:t>
      </w:r>
    </w:p>
    <w:p>
      <w:pPr>
        <w:pStyle w:val="ListParagraph"/>
        <w:numPr>
          <w:ilvl w:val="0"/>
          <w:numId w:val="2"/>
        </w:numPr>
      </w:pPr>
      <w:r>
        <w:t xml:space="preserve">Is the threat still active?</w:t>
      </w:r>
    </w:p>
    <w:p>
      <w:pPr>
        <w:pStyle w:val="ListParagraph"/>
        <w:numPr>
          <w:ilvl w:val="0"/>
          <w:numId w:val="2"/>
        </w:numPr>
      </w:pPr>
      <w:r>
        <w:t xml:space="preserve">Has the incident spread beyond initial scope?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4. Phase 3 — Containment</w:t>
      </w:r>
    </w:p>
    <w:p>
      <w:pPr>
        <w:pStyle w:val="Heading2"/>
      </w:pPr>
      <w:r>
        <w:t xml:space="preserve">4.1 Short-term Containment</w:t>
      </w:r>
    </w:p>
    <w:p>
      <w:pPr>
        <w:pStyle w:val="ListParagraph"/>
        <w:numPr>
          <w:ilvl w:val="0"/>
          <w:numId w:val="3"/>
        </w:numPr>
      </w:pPr>
      <w:r>
        <w:t xml:space="preserve">Isolate affected systems from network (do NOT power off — preserve memory).</w:t>
      </w:r>
    </w:p>
    <w:p>
      <w:pPr>
        <w:pStyle w:val="ListParagraph"/>
        <w:numPr>
          <w:ilvl w:val="0"/>
          <w:numId w:val="3"/>
        </w:numPr>
      </w:pPr>
      <w:r>
        <w:t xml:space="preserve">Revoke or rotate compromised credentials immediately.</w:t>
      </w:r>
    </w:p>
    <w:p>
      <w:pPr>
        <w:pStyle w:val="ListParagraph"/>
        <w:numPr>
          <w:ilvl w:val="0"/>
          <w:numId w:val="3"/>
        </w:numPr>
      </w:pPr>
      <w:r>
        <w:t xml:space="preserve">Block attacker infrastructure at perimeter (IPs, domains, hashes).</w:t>
      </w:r>
    </w:p>
    <w:p>
      <w:pPr>
        <w:pStyle w:val="ListParagraph"/>
        <w:numPr>
          <w:ilvl w:val="0"/>
          <w:numId w:val="3"/>
        </w:numPr>
      </w:pPr>
      <w:r>
        <w:t xml:space="preserve">Preserve logs and forensic artifacts before any changes.</w:t>
      </w:r>
    </w:p>
    <w:p>
      <w:pPr>
        <w:pStyle w:val="ListParagraph"/>
        <w:numPr>
          <w:ilvl w:val="0"/>
          <w:numId w:val="3"/>
        </w:numPr>
      </w:pPr>
      <w:r>
        <w:t xml:space="preserve">Document all containment actions with timestamps.</w:t>
      </w:r>
    </w:p>
    <w:p>
      <w:pPr>
        <w:pStyle w:val="Heading2"/>
      </w:pPr>
      <w:r>
        <w:t xml:space="preserve">4.2 Long-term Containment</w:t>
      </w:r>
    </w:p>
    <w:p>
      <w:pPr>
        <w:pStyle w:val="ListParagraph"/>
        <w:numPr>
          <w:ilvl w:val="0"/>
          <w:numId w:val="2"/>
        </w:numPr>
      </w:pPr>
      <w:r>
        <w:t xml:space="preserve">Implement temporary workarounds to maintain business operations</w:t>
      </w:r>
    </w:p>
    <w:p>
      <w:pPr>
        <w:pStyle w:val="ListParagraph"/>
        <w:numPr>
          <w:ilvl w:val="0"/>
          <w:numId w:val="2"/>
        </w:numPr>
      </w:pPr>
      <w:r>
        <w:t xml:space="preserve">Increase monitoring on adjacent systems</w:t>
      </w:r>
    </w:p>
    <w:p>
      <w:pPr>
        <w:pStyle w:val="ListParagraph"/>
        <w:numPr>
          <w:ilvl w:val="0"/>
          <w:numId w:val="2"/>
        </w:numPr>
      </w:pPr>
      <w:r>
        <w:t xml:space="preserve">Notify affected business units of operational impacts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5. Phase 4 — Eradication</w:t>
      </w:r>
    </w:p>
    <w:p>
      <w:pPr>
        <w:pStyle w:val="ListParagraph"/>
        <w:numPr>
          <w:ilvl w:val="0"/>
          <w:numId w:val="3"/>
        </w:numPr>
      </w:pPr>
      <w:r>
        <w:t xml:space="preserve">Identify root cause and full scope of compromise.</w:t>
      </w:r>
    </w:p>
    <w:p>
      <w:pPr>
        <w:pStyle w:val="ListParagraph"/>
        <w:numPr>
          <w:ilvl w:val="0"/>
          <w:numId w:val="3"/>
        </w:numPr>
      </w:pPr>
      <w:r>
        <w:t xml:space="preserve">Remove malware, backdoors, and unauthorized access.</w:t>
      </w:r>
    </w:p>
    <w:p>
      <w:pPr>
        <w:pStyle w:val="ListParagraph"/>
        <w:numPr>
          <w:ilvl w:val="0"/>
          <w:numId w:val="3"/>
        </w:numPr>
      </w:pPr>
      <w:r>
        <w:t xml:space="preserve">Patch or mitigate the exploited vulnerability.</w:t>
      </w:r>
    </w:p>
    <w:p>
      <w:pPr>
        <w:pStyle w:val="ListParagraph"/>
        <w:numPr>
          <w:ilvl w:val="0"/>
          <w:numId w:val="3"/>
        </w:numPr>
      </w:pPr>
      <w:r>
        <w:t xml:space="preserve">Reset all potentially compromised credentials.</w:t>
      </w:r>
    </w:p>
    <w:p>
      <w:pPr>
        <w:pStyle w:val="ListParagraph"/>
        <w:numPr>
          <w:ilvl w:val="0"/>
          <w:numId w:val="3"/>
        </w:numPr>
      </w:pPr>
      <w:r>
        <w:t xml:space="preserve">Verify integrity of affected systems before return to service.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6. Phase 5 — Recovery</w:t>
      </w:r>
    </w:p>
    <w:p>
      <w:pPr>
        <w:pStyle w:val="ListParagraph"/>
        <w:numPr>
          <w:ilvl w:val="0"/>
          <w:numId w:val="3"/>
        </w:numPr>
      </w:pPr>
      <w:r>
        <w:t xml:space="preserve">Restore systems from known-clean backups or rebuild from scratch.</w:t>
      </w:r>
    </w:p>
    <w:p>
      <w:pPr>
        <w:pStyle w:val="ListParagraph"/>
        <w:numPr>
          <w:ilvl w:val="0"/>
          <w:numId w:val="3"/>
        </w:numPr>
      </w:pPr>
      <w:r>
        <w:t xml:space="preserve">Validate restored systems before reconnecting to network.</w:t>
      </w:r>
    </w:p>
    <w:p>
      <w:pPr>
        <w:pStyle w:val="ListParagraph"/>
        <w:numPr>
          <w:ilvl w:val="0"/>
          <w:numId w:val="3"/>
        </w:numPr>
      </w:pPr>
      <w:r>
        <w:t xml:space="preserve">Monitor restored systems closely for 72+ hours.</w:t>
      </w:r>
    </w:p>
    <w:p>
      <w:pPr>
        <w:pStyle w:val="ListParagraph"/>
        <w:numPr>
          <w:ilvl w:val="0"/>
          <w:numId w:val="3"/>
        </w:numPr>
      </w:pPr>
      <w:r>
        <w:t xml:space="preserve">Verify business operations are fully restored.</w:t>
      </w:r>
    </w:p>
    <w:p>
      <w:pPr>
        <w:pStyle w:val="ListParagraph"/>
        <w:numPr>
          <w:ilvl w:val="0"/>
          <w:numId w:val="3"/>
        </w:numPr>
      </w:pPr>
      <w:r>
        <w:t xml:space="preserve">Close incident ticket with full documentation.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7. Phase 6 — Post-Incident Review</w:t>
      </w:r>
    </w:p>
    <w:p>
      <w:pPr>
        <w:pStyle w:val="Heading2"/>
      </w:pPr>
      <w:r>
        <w:t xml:space="preserve">7.1 PIR Agenda</w:t>
      </w:r>
    </w:p>
    <w:p>
      <w:pPr>
        <w:pStyle w:val="ListParagraph"/>
        <w:numPr>
          <w:ilvl w:val="0"/>
          <w:numId w:val="2"/>
        </w:numPr>
      </w:pPr>
      <w:r>
        <w:t xml:space="preserve">Timeline reconstruction — what happened and when</w:t>
      </w:r>
    </w:p>
    <w:p>
      <w:pPr>
        <w:pStyle w:val="ListParagraph"/>
        <w:numPr>
          <w:ilvl w:val="0"/>
          <w:numId w:val="2"/>
        </w:numPr>
      </w:pPr>
      <w:r>
        <w:t xml:space="preserve">Root cause analysis — why did it happen</w:t>
      </w:r>
    </w:p>
    <w:p>
      <w:pPr>
        <w:pStyle w:val="ListParagraph"/>
        <w:numPr>
          <w:ilvl w:val="0"/>
          <w:numId w:val="2"/>
        </w:numPr>
      </w:pPr>
      <w:r>
        <w:t xml:space="preserve">Detection gap analysis — why wasn't it caught sooner</w:t>
      </w:r>
    </w:p>
    <w:p>
      <w:pPr>
        <w:pStyle w:val="ListParagraph"/>
        <w:numPr>
          <w:ilvl w:val="0"/>
          <w:numId w:val="2"/>
        </w:numPr>
      </w:pPr>
      <w:r>
        <w:t xml:space="preserve">Response effectiveness — what worked, what didn't</w:t>
      </w:r>
    </w:p>
    <w:p>
      <w:pPr>
        <w:pStyle w:val="ListParagraph"/>
        <w:numPr>
          <w:ilvl w:val="0"/>
          <w:numId w:val="2"/>
        </w:numPr>
      </w:pPr>
      <w:r>
        <w:t xml:space="preserve">Action items — specific improvements with owners and deadlines</w:t>
      </w:r>
    </w:p>
    <w:p>
      <w:pPr>
        <w:pStyle w:val="Heading2"/>
      </w:pPr>
      <w:r>
        <w:t xml:space="preserve">7.2 PIR Report Fields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6720"/>
      </w:tblGrid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Field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Content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Incident ID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Detection Date/Time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Containment Date/Time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Resolution Date/Time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Total Duration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Root Cause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Data Affected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Business Impact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Action Items</w:t>
            </w:r>
          </w:p>
        </w:tc>
        <w:tc>
          <w:tcPr>
            <w:tcW w:type="dxa" w:w="67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8. Notification Requirements</w:t>
      </w:r>
    </w:p>
    <w:p>
      <w:pPr>
        <w:pStyle w:val="Heading2"/>
      </w:pPr>
      <w:r>
        <w:t xml:space="preserve">8.1 Internal Notifications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Stakeholder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When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Method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Owner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Executive Team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Legal/Compliance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HR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IT Operations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PR/Communications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2"/>
      </w:pPr>
      <w:r>
        <w:t xml:space="preserve">8.2 Regulatory Notifications</w:t>
      </w:r>
    </w:p>
    <w:p>
      <w:pPr>
        <w:pStyle w:val="Normal"/>
      </w:pPr>
      <w:r>
        <w:rPr>
          <w:i/>
          <w:iCs/>
        </w:rPr>
        <w:t xml:space="preserve">[Complete based on applicable regulations — HIPAA Breach Notification Rule requires notification to HHS and affected individuals within 60 days of discovery of a breach affecting 500+ individuals. State laws may have shorter windows. Consult legal counsel before external notifications.]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9. Contact Directory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Role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Name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Contact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CISO / IR Director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Legal Counsel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External IR Firm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Cyber Insurance Carrier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FBI / Law Enforcement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HHS OCR (HIPAA)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Forensics Vendor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 w15:tentative="1">
      <w:start w:val="1"/>
      <w:numFmt w:val="bullet"/>
      <w:lvlText w:val="○"/>
      <w:lvlJc w:val="left"/>
      <w:pPr>
        <w:ind w:left="1080" w:hanging="360"/>
      </w:pPr>
      <w:rPr>
        <w:rFonts w:ascii="Arial" w:cs="Arial" w:eastAsia="Arial" w:hAnsi="Arial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color w:val="0D0F0D"/>
      <w:sz w:val="36"/>
      <w:szCs w:val="36"/>
    </w:rPr>
  </w:style>
  <w:style w:type="paragraph" w:styleId="Heading2">
    <w:name w:val="Heading 2"/>
    <w:basedOn w:val="Normal"/>
    <w:next w:val="Normal"/>
    <w:qFormat/>
    <w:pPr>
      <w:pBdr>
        <w:bottom w:val="single" w:color="E0E0E0" w:sz="4" w:space="4"/>
      </w:pBdr>
      <w:spacing w:after="120" w:before="300"/>
      <w:outlineLvl w:val="1"/>
    </w:pPr>
    <w:rPr>
      <w:rFonts w:ascii="Arial" w:cs="Arial" w:eastAsia="Arial" w:hAnsi="Arial"/>
      <w:b/>
      <w:bCs/>
      <w:color w:val="0D0F0D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40"/>
      <w:outlineLvl w:val="2"/>
    </w:pPr>
    <w:rPr>
      <w:rFonts w:ascii="Arial" w:cs="Arial" w:eastAsia="Arial" w:hAnsi="Arial"/>
      <w:b/>
      <w:bCs/>
      <w:color w:val="444444"/>
      <w:sz w:val="22"/>
      <w:szCs w:val="22"/>
    </w:rPr>
  </w:style>
  <w:style w:type="paragraph" w:styleId="Normal">
    <w:name w:val="Normal"/>
    <w:pPr>
      <w:spacing w:after="160"/>
    </w:pPr>
    <w:rPr>
      <w:rFonts w:ascii="Arial" w:cs="Arial" w:eastAsia="Arial" w:hAnsi="Arial"/>
      <w:color w:val="333333"/>
      <w:sz w:val="22"/>
      <w:szCs w:val="22"/>
    </w:rPr>
  </w:style>
  <w:style w:type="paragraph" w:styleId="TableHeader">
    <w:name w:val="Table Header"/>
    <w:basedOn w:val="Normal"/>
    <w:rPr>
      <w:rFonts w:ascii="Arial" w:cs="Arial" w:eastAsia="Arial" w:hAnsi="Arial"/>
      <w:b/>
      <w:bCs/>
      <w:color w:val="FFFFFF"/>
      <w:sz w:val="20"/>
      <w:szCs w:val="20"/>
    </w:rPr>
  </w:style>
  <w:style w:type="paragraph" w:styleId="Caption">
    <w:name w:val="Caption"/>
    <w:basedOn w:val="Normal"/>
    <w:pPr>
      <w:spacing w:after="200" w:before="80"/>
    </w:pPr>
    <w:rPr>
      <w:rFonts w:ascii="Arial" w:cs="Arial" w:eastAsia="Arial" w:hAnsi="Arial"/>
      <w:i/>
      <w:iCs/>
      <w:color w:val="66666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2026-06-28T23:01:03.795Z</dcterms:created>
  <dcterms:modified xsi:type="dcterms:W3CDTF">2026-06-28T23:01:03.795Z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